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ascii="Times New Roman" w:hAnsi="Times New Roman" w:eastAsia="方正小标宋简体"/>
          <w:b/>
          <w:bCs/>
          <w:sz w:val="44"/>
          <w:szCs w:val="44"/>
        </w:rPr>
        <w:t>洛南县第二批“一件事一次办”事项基础清单</w:t>
      </w:r>
    </w:p>
    <w:tbl>
      <w:tblPr>
        <w:tblStyle w:val="3"/>
        <w:tblW w:w="530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74"/>
        <w:gridCol w:w="4446"/>
        <w:gridCol w:w="1781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36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涉及事项</w:t>
            </w:r>
          </w:p>
        </w:tc>
        <w:tc>
          <w:tcPr>
            <w:tcW w:w="94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配合单位</w:t>
            </w:r>
          </w:p>
        </w:tc>
        <w:tc>
          <w:tcPr>
            <w:tcW w:w="559" w:type="pc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教育入学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新生入学信息采集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县科教体局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县科教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户籍类证明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县公安局</w:t>
            </w:r>
          </w:p>
        </w:tc>
        <w:tc>
          <w:tcPr>
            <w:tcW w:w="559" w:type="pct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居住证</w:t>
            </w:r>
          </w:p>
        </w:tc>
        <w:tc>
          <w:tcPr>
            <w:tcW w:w="9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59" w:type="pct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不动产权证书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县自然资源局</w:t>
            </w:r>
          </w:p>
        </w:tc>
        <w:tc>
          <w:tcPr>
            <w:tcW w:w="559" w:type="pct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社会保险参保缴费记录查询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县人社局</w:t>
            </w:r>
          </w:p>
        </w:tc>
        <w:tc>
          <w:tcPr>
            <w:tcW w:w="559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restart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社会保障卡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居民服务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就业和人力资源服务、社保服务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县人社局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67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就医购药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县医保局</w:t>
            </w:r>
          </w:p>
        </w:tc>
        <w:tc>
          <w:tcPr>
            <w:tcW w:w="559" w:type="pct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企业信息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变更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企业变更登记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县行政审批局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县行政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企业印章刻制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县公安局</w:t>
            </w: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基本账户变更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各商业银行</w:t>
            </w: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社会保险登记变更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县人社局</w:t>
            </w: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住房公积金企业缴存登记变更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县住房公积金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中心</w:t>
            </w: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开办运输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企业营业执照信息核验</w:t>
            </w:r>
          </w:p>
        </w:tc>
        <w:tc>
          <w:tcPr>
            <w:tcW w:w="94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县行政审批局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县行政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审批局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道路货物运输经营许可（危险货物道路运输经营、使用总质量4500千克及以下普通货运车辆从事普通货运经营的除外）</w:t>
            </w:r>
          </w:p>
        </w:tc>
        <w:tc>
          <w:tcPr>
            <w:tcW w:w="94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  <w:kern w:val="0"/>
                <w:sz w:val="24"/>
                <w:lang w:bidi="ar"/>
              </w:rPr>
              <w:t>普通道路货物运输车辆（道路运输证）办理</w:t>
            </w:r>
          </w:p>
        </w:tc>
        <w:tc>
          <w:tcPr>
            <w:tcW w:w="94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信用修复</w:t>
            </w: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统筹在“信用中国”网站及地方信用平台网站建立相关失信信息信用修复指引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县发改局</w:t>
            </w:r>
          </w:p>
        </w:tc>
        <w:tc>
          <w:tcPr>
            <w:tcW w:w="5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行政处罚信息修复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设列行政处罚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信息修复的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有关部门</w:t>
            </w: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异常经营名录信息修复</w:t>
            </w:r>
          </w:p>
        </w:tc>
        <w:tc>
          <w:tcPr>
            <w:tcW w:w="9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县市场监管局</w:t>
            </w: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0" w:type="pct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3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严重失信主体名单信息修复</w:t>
            </w:r>
          </w:p>
        </w:tc>
        <w:tc>
          <w:tcPr>
            <w:tcW w:w="9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设列严重失信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主体名单的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  <w:t>有关部门</w:t>
            </w:r>
          </w:p>
        </w:tc>
        <w:tc>
          <w:tcPr>
            <w:tcW w:w="5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4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055F4893"/>
    <w:rsid w:val="055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2024-06-26T08:02:00Z</dcterms:created>
  <dc:creator>Lenovo</dc:creator>
  <cp:lastModifiedBy>Lenovo</cp:lastModifiedBy>
  <dcterms:modified xsi:type="dcterms:W3CDTF">2024-06-26T08:02:59Z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862A2552D176420A8AACFFBAC7C84EE0_11</vt:lpwstr>
  </property>
</Properties>
</file>